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01EC" w14:textId="77777777" w:rsidR="0061222A" w:rsidRDefault="0061222A">
      <w:pPr>
        <w:pStyle w:val="Title"/>
        <w:ind w:left="0" w:hanging="2"/>
        <w:jc w:val="left"/>
        <w:rPr>
          <w:sz w:val="18"/>
          <w:szCs w:val="18"/>
        </w:rPr>
      </w:pPr>
    </w:p>
    <w:tbl>
      <w:tblPr>
        <w:tblStyle w:val="a"/>
        <w:tblW w:w="9975" w:type="dxa"/>
        <w:tblInd w:w="-720" w:type="dxa"/>
        <w:tblLayout w:type="fixed"/>
        <w:tblLook w:val="0600" w:firstRow="0" w:lastRow="0" w:firstColumn="0" w:lastColumn="0" w:noHBand="1" w:noVBand="1"/>
      </w:tblPr>
      <w:tblGrid>
        <w:gridCol w:w="3795"/>
        <w:gridCol w:w="1620"/>
        <w:gridCol w:w="2040"/>
        <w:gridCol w:w="1395"/>
        <w:gridCol w:w="1125"/>
      </w:tblGrid>
      <w:tr w:rsidR="0061222A" w14:paraId="0500EB23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2760A5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Fund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96B2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2023 </w:t>
            </w:r>
          </w:p>
          <w:p w14:paraId="06A91524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Budget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BDD4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5B2B26E3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Actual/Estimate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A723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14:paraId="393BA6EF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E1A9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Change</w:t>
            </w:r>
          </w:p>
        </w:tc>
      </w:tr>
      <w:tr w:rsidR="0061222A" w14:paraId="2D5FA9F6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494FEC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REVENUES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B8AD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7135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C61C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016F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1B7CA728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080368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General Property Taxes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853C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25DC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336,598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6BAC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338,252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7DF9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+1%</w:t>
            </w:r>
          </w:p>
        </w:tc>
      </w:tr>
      <w:tr w:rsidR="0061222A" w14:paraId="7FE87D7C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255A03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Other Taxes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EC92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81D2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149B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4471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63E8FE44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230778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Intergovernmental Revenues: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3F29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160,282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0D6B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169,279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8FB9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213,713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7B7C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5FE5F26F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6F55B5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Property Tax Aid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0D3E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F38B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17,393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E42E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7388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46065992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9277D9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Licenses &amp; Permits: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8C68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640B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26,668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FA59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0803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56513F6C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A700E4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Charges for Services: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1647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678E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6A2E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5E5F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63DFD371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FAF512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&amp; Miscellaneous Revenues: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570F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91AB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28,970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484D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A37D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07AA0954" w14:textId="77777777">
        <w:tc>
          <w:tcPr>
            <w:tcW w:w="37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BF7882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 REVENUES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E0A0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521,603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4C51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583,203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925F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610,405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2345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+1.04%</w:t>
            </w:r>
          </w:p>
        </w:tc>
      </w:tr>
    </w:tbl>
    <w:p w14:paraId="21348747" w14:textId="77777777" w:rsidR="0061222A" w:rsidRDefault="00301FB3">
      <w:pPr>
        <w:pStyle w:val="Title"/>
        <w:keepLines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Solar Road Bond                                                                      30,000</w:t>
      </w:r>
    </w:p>
    <w:tbl>
      <w:tblPr>
        <w:tblStyle w:val="a0"/>
        <w:tblW w:w="10680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1935"/>
        <w:gridCol w:w="1995"/>
        <w:gridCol w:w="2070"/>
        <w:gridCol w:w="1380"/>
      </w:tblGrid>
      <w:tr w:rsidR="0061222A" w14:paraId="3FA1F94F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6543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Balance Applied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BD90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31D3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280,522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56DF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253,718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A685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4B8120BA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1FFE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Revenues &amp; Cash Balance Applied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3A5F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4C51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893,725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985D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864,123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18EE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50550F23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573D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EXPENDITURES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8692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467C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ECC6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3230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490FDD8F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984A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Government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4246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105,700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46C8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90,236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27D8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119,800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645C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509F265E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A360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46FC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110,000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F25C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101,480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9D55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125,250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7B4D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4CDCC6F2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C57C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Works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D7A7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457,825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DE96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331,813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EDD1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532,825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5626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0106C3CD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1545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Human Services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CC5C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3,000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CC86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2,947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081F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3,000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6620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5C1862AB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51C8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 &amp; Development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5C58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768E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1694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1,600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024E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67C14564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2F89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Overpayment of Escrow &amp; Interest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6673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4,000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0EC8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769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1A05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3,354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2C53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462D8D18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F3FA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2 Loan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B82E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8803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5,764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C9FB" w14:textId="77777777" w:rsidR="0061222A" w:rsidRDefault="00301FB3">
            <w:pPr>
              <w:keepLines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10,034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9BCC" w14:textId="77777777" w:rsidR="0061222A" w:rsidRDefault="0061222A">
            <w:pPr>
              <w:keepLines/>
              <w:ind w:left="0" w:hanging="2"/>
              <w:rPr>
                <w:sz w:val="20"/>
                <w:szCs w:val="20"/>
              </w:rPr>
            </w:pPr>
          </w:p>
        </w:tc>
      </w:tr>
      <w:tr w:rsidR="0061222A" w14:paraId="34D35B73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9D18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EXPENDITURES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9795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680,525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FE42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533,009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D643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795,862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893B" w14:textId="77777777" w:rsidR="0061222A" w:rsidRDefault="00301FB3">
            <w:pPr>
              <w:keepLines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+1.5%</w:t>
            </w:r>
          </w:p>
        </w:tc>
      </w:tr>
    </w:tbl>
    <w:p w14:paraId="2B681B67" w14:textId="77777777" w:rsidR="0061222A" w:rsidRDefault="0061222A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</w:rPr>
      </w:pPr>
    </w:p>
    <w:sectPr w:rsidR="006122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BDC9" w14:textId="77777777" w:rsidR="00301FB3" w:rsidRDefault="00301FB3">
      <w:pPr>
        <w:spacing w:line="240" w:lineRule="auto"/>
        <w:ind w:left="0" w:hanging="2"/>
      </w:pPr>
      <w:r>
        <w:separator/>
      </w:r>
    </w:p>
  </w:endnote>
  <w:endnote w:type="continuationSeparator" w:id="0">
    <w:p w14:paraId="1942BAB3" w14:textId="77777777" w:rsidR="00301FB3" w:rsidRDefault="00301F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6912" w14:textId="77777777" w:rsidR="0061222A" w:rsidRDefault="00301F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0A2A4F1" w14:textId="77777777" w:rsidR="0061222A" w:rsidRDefault="006122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C52F" w14:textId="77777777" w:rsidR="0061222A" w:rsidRDefault="00301F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F6578D5" w14:textId="77777777" w:rsidR="0061222A" w:rsidRDefault="006122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07DC" w14:textId="77777777" w:rsidR="0061222A" w:rsidRDefault="0061222A">
    <w:pPr>
      <w:pStyle w:val="Title"/>
      <w:tabs>
        <w:tab w:val="right" w:pos="5040"/>
        <w:tab w:val="right" w:pos="6480"/>
        <w:tab w:val="right" w:pos="7920"/>
        <w:tab w:val="right" w:pos="8640"/>
      </w:tabs>
      <w:ind w:left="0" w:right="-720" w:hanging="2"/>
      <w:jc w:val="left"/>
      <w:rPr>
        <w:b/>
        <w:sz w:val="24"/>
      </w:rPr>
    </w:pPr>
    <w:bookmarkStart w:id="3" w:name="_heading=h.pdxhoc93ph9" w:colFirst="0" w:colLast="0"/>
    <w:bookmarkEnd w:id="3"/>
  </w:p>
  <w:tbl>
    <w:tblPr>
      <w:tblStyle w:val="a1"/>
      <w:tblW w:w="93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3273"/>
      <w:gridCol w:w="1327"/>
      <w:gridCol w:w="1381"/>
      <w:gridCol w:w="1555"/>
      <w:gridCol w:w="1824"/>
    </w:tblGrid>
    <w:tr w:rsidR="0061222A" w14:paraId="33D7F248" w14:textId="77777777">
      <w:trPr>
        <w:trHeight w:val="285"/>
      </w:trPr>
      <w:tc>
        <w:tcPr>
          <w:tcW w:w="3271" w:type="dxa"/>
          <w:tcBorders>
            <w:top w:val="single" w:sz="6" w:space="0" w:color="CCCCCC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558B5C29" w14:textId="77777777" w:rsidR="0061222A" w:rsidRDefault="00301FB3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b/>
            </w:rPr>
            <w:t>2024 Preliminary</w:t>
          </w:r>
        </w:p>
      </w:tc>
      <w:tc>
        <w:tcPr>
          <w:tcW w:w="1327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5E5B778B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381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760609DA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555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60B4E1C9" w14:textId="77777777" w:rsidR="0061222A" w:rsidRDefault="0061222A">
          <w:pPr>
            <w:widowControl w:val="0"/>
            <w:spacing w:line="276" w:lineRule="auto"/>
            <w:ind w:left="0" w:hanging="2"/>
            <w:rPr>
              <w:sz w:val="18"/>
              <w:szCs w:val="18"/>
            </w:rPr>
          </w:pPr>
        </w:p>
      </w:tc>
      <w:tc>
        <w:tcPr>
          <w:tcW w:w="1823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1646C3F3" w14:textId="77777777" w:rsidR="0061222A" w:rsidRDefault="00301FB3">
          <w:pPr>
            <w:widowControl w:val="0"/>
            <w:spacing w:line="276" w:lineRule="auto"/>
            <w:ind w:left="0" w:hanging="2"/>
            <w:rPr>
              <w:sz w:val="18"/>
              <w:szCs w:val="18"/>
            </w:rPr>
          </w:pPr>
          <w:r>
            <w:rPr>
              <w:sz w:val="18"/>
              <w:szCs w:val="18"/>
            </w:rPr>
            <w:t>Property Contribution</w:t>
          </w:r>
        </w:p>
      </w:tc>
    </w:tr>
    <w:tr w:rsidR="0061222A" w14:paraId="4964B9BD" w14:textId="77777777">
      <w:trPr>
        <w:trHeight w:val="255"/>
      </w:trPr>
      <w:tc>
        <w:tcPr>
          <w:tcW w:w="3271" w:type="dxa"/>
          <w:tcBorders>
            <w:top w:val="single" w:sz="6" w:space="0" w:color="CCCCCC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7E76860D" w14:textId="77777777" w:rsidR="0061222A" w:rsidRDefault="00301FB3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Estimated 12/31/23 Balance</w:t>
          </w:r>
        </w:p>
      </w:tc>
      <w:tc>
        <w:tcPr>
          <w:tcW w:w="1327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24018F05" w14:textId="77777777" w:rsidR="0061222A" w:rsidRDefault="00301FB3">
          <w:pPr>
            <w:widowControl w:val="0"/>
            <w:spacing w:line="276" w:lineRule="auto"/>
            <w:ind w:left="0"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$360,718.21</w:t>
          </w:r>
        </w:p>
      </w:tc>
      <w:tc>
        <w:tcPr>
          <w:tcW w:w="1381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6AD874AD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555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0D010417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823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CCCCCC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7B06A7EA" w14:textId="77777777" w:rsidR="0061222A" w:rsidRDefault="00301FB3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$338,252</w:t>
          </w:r>
        </w:p>
      </w:tc>
    </w:tr>
    <w:tr w:rsidR="0061222A" w14:paraId="32C30A50" w14:textId="77777777">
      <w:trPr>
        <w:trHeight w:val="255"/>
      </w:trPr>
      <w:tc>
        <w:tcPr>
          <w:tcW w:w="3271" w:type="dxa"/>
          <w:tcBorders>
            <w:top w:val="single" w:sz="6" w:space="0" w:color="CCCCCC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383659B5" w14:textId="77777777" w:rsidR="0061222A" w:rsidRDefault="00301FB3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BCPL Loan</w:t>
          </w:r>
        </w:p>
      </w:tc>
      <w:tc>
        <w:tcPr>
          <w:tcW w:w="1327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181C4AA0" w14:textId="77777777" w:rsidR="0061222A" w:rsidRDefault="00301FB3">
          <w:pPr>
            <w:widowControl w:val="0"/>
            <w:spacing w:line="276" w:lineRule="auto"/>
            <w:ind w:left="0"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$27,000.00</w:t>
          </w:r>
        </w:p>
      </w:tc>
      <w:tc>
        <w:tcPr>
          <w:tcW w:w="1381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106795C0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555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70E88E03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823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249CE9D3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</w:tr>
    <w:tr w:rsidR="0061222A" w14:paraId="401FDC1A" w14:textId="77777777">
      <w:trPr>
        <w:trHeight w:val="255"/>
      </w:trPr>
      <w:tc>
        <w:tcPr>
          <w:tcW w:w="3271" w:type="dxa"/>
          <w:tcBorders>
            <w:top w:val="single" w:sz="6" w:space="0" w:color="CCCCCC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7F6F5D8D" w14:textId="77777777" w:rsidR="0061222A" w:rsidRDefault="00301FB3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Reserve</w:t>
          </w:r>
        </w:p>
      </w:tc>
      <w:tc>
        <w:tcPr>
          <w:tcW w:w="1327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6E64D6CB" w14:textId="77777777" w:rsidR="0061222A" w:rsidRDefault="00301FB3">
          <w:pPr>
            <w:widowControl w:val="0"/>
            <w:spacing w:line="276" w:lineRule="auto"/>
            <w:ind w:left="0"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$50,000.00</w:t>
          </w:r>
        </w:p>
      </w:tc>
      <w:tc>
        <w:tcPr>
          <w:tcW w:w="1381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2D910B3B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555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3068960D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  <w:tc>
        <w:tcPr>
          <w:tcW w:w="1823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37512C5E" w14:textId="77777777" w:rsidR="0061222A" w:rsidRDefault="0061222A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</w:p>
      </w:tc>
    </w:tr>
    <w:tr w:rsidR="0061222A" w14:paraId="27F08336" w14:textId="77777777">
      <w:trPr>
        <w:trHeight w:val="255"/>
      </w:trPr>
      <w:tc>
        <w:tcPr>
          <w:tcW w:w="3271" w:type="dxa"/>
          <w:tcBorders>
            <w:top w:val="single" w:sz="6" w:space="0" w:color="CCCCCC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214BB600" w14:textId="77777777" w:rsidR="0061222A" w:rsidRDefault="00301FB3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Road Bond Solar</w:t>
          </w:r>
        </w:p>
      </w:tc>
      <w:tc>
        <w:tcPr>
          <w:tcW w:w="1327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7091EEB2" w14:textId="77777777" w:rsidR="0061222A" w:rsidRDefault="00301FB3">
          <w:pPr>
            <w:widowControl w:val="0"/>
            <w:spacing w:line="276" w:lineRule="auto"/>
            <w:ind w:left="0"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$30,000.00</w:t>
          </w:r>
        </w:p>
      </w:tc>
      <w:tc>
        <w:tcPr>
          <w:tcW w:w="1381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297F148F" w14:textId="77777777" w:rsidR="0061222A" w:rsidRDefault="00301FB3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Revenues ‘24</w:t>
          </w:r>
        </w:p>
      </w:tc>
      <w:tc>
        <w:tcPr>
          <w:tcW w:w="1555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0B446906" w14:textId="77777777" w:rsidR="0061222A" w:rsidRDefault="00301FB3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Expenses ‘24</w:t>
          </w:r>
        </w:p>
      </w:tc>
      <w:tc>
        <w:tcPr>
          <w:tcW w:w="1823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5A7DD210" w14:textId="77777777" w:rsidR="0061222A" w:rsidRDefault="00301FB3">
          <w:pPr>
            <w:widowControl w:val="0"/>
            <w:spacing w:line="276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12/31/24 End Balance</w:t>
          </w:r>
        </w:p>
      </w:tc>
    </w:tr>
    <w:tr w:rsidR="0061222A" w14:paraId="40F29C45" w14:textId="77777777">
      <w:trPr>
        <w:trHeight w:val="255"/>
      </w:trPr>
      <w:tc>
        <w:tcPr>
          <w:tcW w:w="3271" w:type="dxa"/>
          <w:tcBorders>
            <w:top w:val="single" w:sz="6" w:space="0" w:color="CCCCCC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50E66876" w14:textId="77777777" w:rsidR="0061222A" w:rsidRDefault="00301FB3">
          <w:pPr>
            <w:widowControl w:val="0"/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Total Funds 12/31/23</w:t>
          </w:r>
        </w:p>
      </w:tc>
      <w:tc>
        <w:tcPr>
          <w:tcW w:w="1327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32425966" w14:textId="77777777" w:rsidR="0061222A" w:rsidRDefault="00301FB3">
          <w:pPr>
            <w:widowControl w:val="0"/>
            <w:spacing w:line="276" w:lineRule="auto"/>
            <w:ind w:left="0" w:hanging="2"/>
            <w:jc w:val="right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$253,718.21</w:t>
          </w:r>
        </w:p>
      </w:tc>
      <w:tc>
        <w:tcPr>
          <w:tcW w:w="1381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366C726D" w14:textId="77777777" w:rsidR="0061222A" w:rsidRDefault="00301FB3">
          <w:pPr>
            <w:widowControl w:val="0"/>
            <w:spacing w:line="276" w:lineRule="auto"/>
            <w:ind w:left="0" w:hanging="2"/>
            <w:jc w:val="right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$610,405.44</w:t>
          </w:r>
        </w:p>
      </w:tc>
      <w:tc>
        <w:tcPr>
          <w:tcW w:w="1555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000000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796E874D" w14:textId="77777777" w:rsidR="0061222A" w:rsidRDefault="00301FB3">
          <w:pPr>
            <w:widowControl w:val="0"/>
            <w:spacing w:line="276" w:lineRule="auto"/>
            <w:ind w:left="0" w:hanging="2"/>
            <w:jc w:val="right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$795,862.65</w:t>
          </w:r>
        </w:p>
      </w:tc>
      <w:tc>
        <w:tcPr>
          <w:tcW w:w="1823" w:type="dxa"/>
          <w:tcBorders>
            <w:top w:val="single" w:sz="6" w:space="0" w:color="CCCCCC"/>
            <w:left w:val="single" w:sz="6" w:space="0" w:color="CCCCCC"/>
            <w:bottom w:val="single" w:sz="6" w:space="0" w:color="000000"/>
            <w:right w:val="single" w:sz="6" w:space="0" w:color="CCCCCC"/>
          </w:tcBorders>
          <w:tcMar>
            <w:top w:w="0" w:type="dxa"/>
            <w:left w:w="40" w:type="dxa"/>
            <w:bottom w:w="0" w:type="dxa"/>
            <w:right w:w="40" w:type="dxa"/>
          </w:tcMar>
          <w:vAlign w:val="bottom"/>
        </w:tcPr>
        <w:p w14:paraId="20498EA9" w14:textId="77777777" w:rsidR="0061222A" w:rsidRDefault="00301FB3">
          <w:pPr>
            <w:widowControl w:val="0"/>
            <w:spacing w:line="276" w:lineRule="auto"/>
            <w:ind w:left="0" w:hanging="2"/>
            <w:jc w:val="right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$68,261.00</w:t>
          </w:r>
        </w:p>
      </w:tc>
    </w:tr>
  </w:tbl>
  <w:p w14:paraId="3661E9B8" w14:textId="77777777" w:rsidR="0061222A" w:rsidRDefault="0061222A">
    <w:pPr>
      <w:pStyle w:val="Title"/>
      <w:tabs>
        <w:tab w:val="right" w:pos="5040"/>
        <w:tab w:val="right" w:pos="6480"/>
        <w:tab w:val="right" w:pos="7920"/>
        <w:tab w:val="right" w:pos="8640"/>
      </w:tabs>
      <w:ind w:left="1" w:right="-720" w:hanging="3"/>
      <w:jc w:val="left"/>
    </w:pPr>
    <w:bookmarkStart w:id="4" w:name="_heading=h.cqma79hkvib8" w:colFirst="0" w:colLast="0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02FA" w14:textId="77777777" w:rsidR="00301FB3" w:rsidRDefault="00301FB3">
      <w:pPr>
        <w:spacing w:line="240" w:lineRule="auto"/>
        <w:ind w:left="0" w:hanging="2"/>
      </w:pPr>
      <w:r>
        <w:separator/>
      </w:r>
    </w:p>
  </w:footnote>
  <w:footnote w:type="continuationSeparator" w:id="0">
    <w:p w14:paraId="0C60D9C0" w14:textId="77777777" w:rsidR="00301FB3" w:rsidRDefault="00301F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178D" w14:textId="77777777" w:rsidR="0061222A" w:rsidRDefault="0061222A">
    <w:pPr>
      <w:pStyle w:val="Title"/>
      <w:ind w:left="1" w:hanging="3"/>
      <w:jc w:val="left"/>
    </w:pPr>
    <w:bookmarkStart w:id="0" w:name="_heading=h.ufci8m3eq71s" w:colFirst="0" w:colLast="0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555" w14:textId="77777777" w:rsidR="0061222A" w:rsidRDefault="00301FB3">
    <w:pPr>
      <w:pStyle w:val="Title"/>
      <w:ind w:left="0" w:hanging="2"/>
      <w:rPr>
        <w:b/>
        <w:sz w:val="24"/>
      </w:rPr>
    </w:pPr>
    <w:bookmarkStart w:id="1" w:name="_heading=h.zftf4l8ngno0" w:colFirst="0" w:colLast="0"/>
    <w:bookmarkEnd w:id="1"/>
    <w:r>
      <w:rPr>
        <w:b/>
        <w:sz w:val="24"/>
      </w:rPr>
      <w:t>Notice of Public Budget Hearing for Town of Bradford</w:t>
    </w:r>
  </w:p>
  <w:p w14:paraId="1FC59115" w14:textId="77777777" w:rsidR="0061222A" w:rsidRDefault="00301FB3">
    <w:pPr>
      <w:pStyle w:val="Title"/>
      <w:ind w:left="0" w:hanging="2"/>
    </w:pPr>
    <w:bookmarkStart w:id="2" w:name="_heading=h.yethpsqvl6sd" w:colFirst="0" w:colLast="0"/>
    <w:bookmarkEnd w:id="2"/>
    <w:r>
      <w:rPr>
        <w:b/>
        <w:sz w:val="24"/>
      </w:rPr>
      <w:t>Notice is hereby given that on Tuesday, November 21st, 2023, at 6:30 p.m. at the Town Hall of the Town of Bradford, a Public Hearing on the Proposed 2024 Budget of the Town of Bradford will be held.  The</w:t>
    </w:r>
    <w:r>
      <w:rPr>
        <w:b/>
        <w:sz w:val="24"/>
      </w:rPr>
      <w:t xml:space="preserve"> proposed budget in detail is available for inspection at the clerk’s office by appointment.  The following is a summary of the Proposed 2024 Budget.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2A"/>
    <w:rsid w:val="00301FB3"/>
    <w:rsid w:val="006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DC34"/>
  <w15:docId w15:val="{96595964-B8FC-42F1-A0C5-BB3B5E4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igej3S7KAiQ9qqXVlT1Qj+FOog==">CgMxLjAyDmgudWZjaThtM2VxNzFzMg5oLnpmdGY0bDhuZ25vMDIOaC55ZXRocHNxdmw2c2QyDWgucGR4aG9jOTNwaDkyDmguY3FtYTc5aGt2aWI4OAByITFmV2s3d1V2dnQ4ZHJvNk9IQU8yY0hFQ09lZ2ZnZDhXdA==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WilliamSandra Clarke</dc:creator>
  <cp:lastModifiedBy>Marlina Jackson</cp:lastModifiedBy>
  <cp:revision>2</cp:revision>
  <dcterms:created xsi:type="dcterms:W3CDTF">2023-11-17T19:59:00Z</dcterms:created>
  <dcterms:modified xsi:type="dcterms:W3CDTF">2023-11-17T19:59:00Z</dcterms:modified>
</cp:coreProperties>
</file>